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AE2854" w:rsidRPr="009C0D89" w:rsidTr="00726081">
        <w:trPr>
          <w:tblCellSpacing w:w="0" w:type="dxa"/>
        </w:trPr>
        <w:tc>
          <w:tcPr>
            <w:tcW w:w="0" w:type="auto"/>
            <w:noWrap/>
            <w:vAlign w:val="center"/>
          </w:tcPr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110"/>
              <w:gridCol w:w="110"/>
              <w:gridCol w:w="65"/>
              <w:gridCol w:w="65"/>
              <w:gridCol w:w="65"/>
            </w:tblGrid>
            <w:tr w:rsidR="00AE2854" w:rsidRPr="009C0D89" w:rsidTr="00726081">
              <w:trPr>
                <w:tblCellSpacing w:w="0" w:type="dxa"/>
              </w:trPr>
              <w:tc>
                <w:tcPr>
                  <w:tcW w:w="0" w:type="auto"/>
                </w:tcPr>
                <w:p w:rsidR="00AE2854" w:rsidRPr="00726081" w:rsidRDefault="00AE2854" w:rsidP="007260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</w:tcPr>
                <w:p w:rsidR="00AE2854" w:rsidRPr="00726081" w:rsidRDefault="00AE2854" w:rsidP="007260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45" w:type="dxa"/>
                    <w:right w:w="45" w:type="dxa"/>
                  </w:tcMar>
                </w:tcPr>
                <w:p w:rsidR="00AE2854" w:rsidRPr="00726081" w:rsidRDefault="00AE2854" w:rsidP="007260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45" w:type="dxa"/>
                    <w:right w:w="45" w:type="dxa"/>
                  </w:tcMar>
                </w:tcPr>
                <w:p w:rsidR="00AE2854" w:rsidRPr="00726081" w:rsidRDefault="00AE2854" w:rsidP="007260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Mar>
                    <w:top w:w="0" w:type="dxa"/>
                    <w:left w:w="0" w:type="dxa"/>
                    <w:bottom w:w="45" w:type="dxa"/>
                    <w:right w:w="45" w:type="dxa"/>
                  </w:tcMar>
                </w:tcPr>
                <w:p w:rsidR="00AE2854" w:rsidRPr="00726081" w:rsidRDefault="00AE2854" w:rsidP="007260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2854" w:rsidRPr="00726081" w:rsidRDefault="00AE2854" w:rsidP="007260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2854" w:rsidRPr="00726081" w:rsidRDefault="00AE2854" w:rsidP="00726081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AE2854" w:rsidRPr="009C0D89" w:rsidTr="00726081">
        <w:trPr>
          <w:tblCellSpacing w:w="0" w:type="dxa"/>
        </w:trPr>
        <w:tc>
          <w:tcPr>
            <w:tcW w:w="0" w:type="auto"/>
            <w:vAlign w:val="center"/>
          </w:tcPr>
          <w:p w:rsidR="00AE2854" w:rsidRDefault="00AE2854" w:rsidP="007260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НАИМЕНОВАНИЕ, МЕСТО НАХОЖДЕНИЯ, ВИД РЕЛИГИОЗНОЙ ОРГАНИЗАЦИИ, ВЕРОИСПОВЕДАНИЕ</w:t>
            </w:r>
          </w:p>
          <w:p w:rsidR="00AE2854" w:rsidRPr="00726081" w:rsidRDefault="00AE2854" w:rsidP="00E854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1.1 Наименование религиозной организации -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Ивстрийская Православная Микронационная Церковь – Шпакбургский Патриархат".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1.2 Ивстрийская Православная Микронационная Церковь Шпакбургский Патриархат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менуемая в дальнейшем "Церковь", является централизованной религиозной организацией, объединяющей общины и другие религиозные организации и группы православных христиан-старообрядцев в целях совместного исповедания и распространения в</w:t>
            </w:r>
            <w:bookmarkStart w:id="0" w:name="_GoBack"/>
            <w:bookmarkEnd w:id="0"/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еры.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1.3 Вероисповедание - Православие.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1.4 Основами вероучения Церкви являются Священное Писание (канонические книги Ветхого и Нового Заветов) и Священное Предание (учение Святых апостолов, Святых вселенских и поместных соборов, Святых отцов).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1.5 Церковь действует в соответствии с каноническими правилами, изложенными в книге Кормчей (Номоканоне), и настоящим Уставом. Церковь действует в соответствии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Конституцией Республики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, общепризнанными нормами меж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дународного права, з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аконом "О свободе совест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 о религиозных объединениях".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1.6 Церковь может входить в международные религиозные объединения, программа деятельности которых не противоречит целям и задачам Церкви.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1.7 Церковь после государственной регистрации является юридическим лицом, имеет в собственности обособленное имущество, самостоятельный баланс, печать, штампы, бланки со своим наименованием и символикой, может открывать рублевые и валютные счета в банках и их учреждениях, вправе от своего имени заключать договоры, приобретать имущественные и неимущественные права и иметь обязанности, быть истцом и ответчиком в суде. Церковь обладает и другими правами, предусмотренными действующим законодательством в отношении юридических лиц.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1.8 Церковь несет ответственность по своим обязательствам в пределах принадлежащего ей имущества. На движимое и недвижимое имущество богослужебного назначения не может быть обращено взыскание по претензии кредиторов. Церковь не отвечает по обязательствам входящих в нее религиозных объединений; религиозные объединения, входящие в Церковь, не отвечают по обязательствам Церкви.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 Сфера  территориальной  деятельности   Церкви  -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Микронацинный мир, в частности, Республика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 В состав Церкви могут входить религиозные объединени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 находящиеся вне территории Республики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, в соответствии с законодательством страны нахождения.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1.10 Место нахождения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руководящих органов - г. Шпакбург, Республика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ЦЕЛИ, ЗАДАЧИ И ОСНОВНЫЕ ФОРМЫ ДЕЯТЕЛЬНОСТИ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 Цели и задачи Церкви: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2.1.1 совместное исповедание и распространение Православной христианской веры;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2.1.2 поддержание и укрепление догматического и духовного единства и братского общения всех православных христиан-старообрядцев;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2.1.3 обучение и воспитание верующих в чистоте православного вероучения и православной христианской нравственности;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2.1.4 сохранение и укрепление имеющей апостольскую преемственность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Ефесской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священноиерархии;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2.1.5 руководство деятельностью входящих в Церковь религиозных объединений;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2.1.6 организация новых общин и епархий и содействие их дальнейшему развитию как в духовном, так и в материальном отношении;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2.1.7 создание и развитие системы подготовки священно- и церковнослужителей, системы образования, проповеднической, благотворительной, издательской деятельности и их материальной базы;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2.1.8 представительство и защита интересов религиозных объединений, входящих в Церковь, и их членов как внутри страны, так и на международном уровне.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 Основными формами деятельности Церкви являются: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2.2.1 беспрепятственное проведение богослужений и других религиозных обрядов и церемоний в храмах и иных культовых зданиях и сооружениях и на относящихся к ним территориях, в местах паломничества, в учреждениях и на предприятиях Церкви, на кладбищах, в жилых помещениях, в иных местах, предоставленных Церкви для этих целей;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2.2.2 проведение богослужений и других религиозных обрядов и церемоний в лечебно-профилактических и больничных учреждениях, в детских домах и интернатах, в домах-интернатах для престарелых и инвалидов, в воинских частях, в местах предварительного заключения и отбытия наказания (с соблюдением требований уголовно-процессуального законодательства) по просьбам находящихся в них граждан в помещениях, специально выделяемых администрацией для этих целей;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2.2.3 проведение богослужений и других религиозных обрядов и церемоний в иных случаях в порядке, установленном для проведения митингов шествий и демонстраций;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2.2.4 создание высших профессиональных и других духовных образовательных учреждений, организация различных курсов, в том числе по изучению церковного пения и богослужебного устава;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2.2.5 издание и распространение духовной литературы, подготовка теле- и радиопрограмм, не противоречащих православному христианскому благочестию, подготовка статей, обзоров, сообщений и других материалов для средств массовой информации;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2.2.6 проповедническая деятельность;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2.2.7 организация и проведение концертов церковного пения, лекций, конференций и семинаров религиозного содержания, массовых просветительских и благотворительных мероприятий, показа кино- и видеофильмов, не противоречащих православному христианскому благочестию;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2.2.8 благотворительность;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2.2.9 основание и содержание культовых зданий и сооружений, иных мест и объектов, специально предназначенных для богослужений, религиозного почитания (паломничества).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 Для осуществления своей уставной деятельности Церковь в установленном законом порядке имеет право: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 участвовать в рассмотрении государственными органами вопросов, затрагивающих деятельность Церкви и религиозных объединений, входящих в нее;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 вступать в международные союзы, ассоциации и объединения, деятельность которых не противоречит ее уставным целям;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 заключать письменные договоры о сотрудничестве и совместной деятельности с зарубежными религиозными, благотворительными и другими некоммерческими организациями;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2.3.4 принимать участие в организации и работе международных конференций, семинаров и совещаний по вопросам своей уставной деятельности;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2.3.5 открывать при Церкви представительства иностранных религиозных организаций, приглашать иностранных граждан для профессионального участия в проведении богослужений, в качестве священнослужителей и преподавателей и другой деятельности, а также для получения религиозного образования;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2.3.6 иметь свои печатные органы и учреждать средства массовой информации;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2.3.7 использовать эфирное время телевидения и радиовещания для ведения соответствующих православному христианскому благочестию телерадиопрограмм;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2.3.8 создавать в установленном порядке высшие профессиональные и другие духовные образовательные учреждения, образовывать учебные группы, а также организовывать обучение и стажировку за рубежом;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2.3.9 производить, приобретать, продавать, экспортировать, импортировать и распространять религиозную литературу, иные печатные издания, в том числе и в электронном виде, на магнитных и других носителях, а также аудио- видео- продукцию и иные предметы религиозного и иного назначения;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2.3.10 создавать организации, издающие богослужебную литературу и производящие предметы религиозного и иного назначения;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2.3.11 создавать религиозные учреждения и организации (в том числе руководящие либо координирующие органы - епархии и благочиния и другие) и передавать им имущество в собственность, оперативное управление или в иной форме, соответствующей законодательству;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2.3.12 создавать некоммерческие организации, в том числе различные фонды, для благотворительности, изучения и распространения религиозной литературы, проповеднической и иных целей и передавать им имущество в собственность, оперативное управление или в иной форме, соответствующей законодательству;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2.3.13 создавать в установленном порядке организации для реставрации, строительства, реконструкции и ремонта объектов религиозного назначения и иных строений;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2.3.14 открывать свои представительства за рубежом; устанавливать и поддерживать международные связи и контакты;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2.3.15 организовывать индивидуальные и групповые поездки за рубеж и приглашать иностранных гостей;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2.3.16 обращаться к гражданам и организациям как входящим в Церковь, так и иным, в том числе иностранным, за добровольными пожертвованиями и получать их;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2.3.17 обучать религии детей в государственных и муниципальных образовательных учреждениях вне рамок образовательной программы (факультативно);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2.3.18 заниматься организацией досуга и отдыха детей и молодежи в допустимых действующим законодательством формах;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2.3.19 осуществлять предпринимательскую, в том числе внешнеэкономическую, деятельность в целях выполнения уставных задач как непосредственно, так и посредством создания хозяйственных организаций с правами юридических лиц, в том числе различных предприятий;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2.3.20 делать денежные и имущественные пожертвования религиозным объединениям, входящим в Церковь, и иным организациям, в том числе иностранным;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2.3.21 в установленном порядке создавать организации здравоохранения и осуществлять медицинскую и фармацевтическую деятельность, а также сбор и реализацию сырья из дикорастущих лекарственных растений;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2.3.22 в установленном порядке осуществлять деятельность по обследованию состояния, консервации, реставрации и ремонту памятников истории и культуры федерального и местного значения, а также по реконструкции, восстановлению и реставрации памятников архитектуры, зданий и сооружений, представляющих историко-архитектурную ценность;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2.3.23 в установленном порядке приобретать, производить, восстанавливать (ремонтировать и реставрировать) и распространять предметы, необходимые для проведения религиозных обрядов и церемоний (иконы, оклады, кресты, облачения и т.д.), содержащие драгоценные металлы и камни, а также приобретать необходимые для этого материалы;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2.3.24 в установленном порядке осуществлять трудоустройство граждан Российской Федерации за границей, в целях пастырской, преподавательской, проповеднической и иной, соответствующей задачам Церкви деятельности;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2.3.25 в установленном порядке учреждать негосударственные пенсионные фонды и компании по управлению активами негосударственных пенсионных фондов;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2.3.26 в установленном порядке осуществлять деятельность по оказанию ритуальных услуг;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2.3.27 в установленном порядке осуществлять деятельность по публичному показу кино- и видео фильмов, не противоречащих православному христианскому благочестию;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2.3.28 в установленном порядке осуществлять розничную торговлю, торговлю выносную в павильонах, киосках, на лотках и в других временных сооружениях;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2.3.29 в установленном порядке осуществлять деятельность по производству пищевых продуктов;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2.3.30 в установленном порядке осуществлять деятельность по производству и реализации собственной продукции и других товаров на предприятиях общественного питания, включая деятельность по обслуживанию населения;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2.3.31 в установленном порядке осуществлять изготовление репродукций и копий экспонатов музеев;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2.3.32 в установленном порядке осуществлять деятельность по производству и реализации музыкальных кассет с записями (духовных песнопений, церковных служб и т.д.);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2.3.33 в установленном порядке осуществлять издательскую деятельность;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2.3.34 в установленном порядке осуществлять деятельность по экспорту импорту, продаже и скупке у населения и организаций предметов антиквариата (старинных икон, иных предметов культа, книг, рукописей, документов, относящихся к деятельности Церкви);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2.3.35 утверждать уставы религиозных организаций, входящих в Церковь;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2.3.36 формировать руководящие органы религиозных организаций, входящих в Церковь, в соответствии с каноническими правилами;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2.3.37 нанимать граждан по трудовому договору (контракту) согласно трудовому законодательству.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2.3.38 совершать иные действия, не противоречащие действующему законодательству и канонам Церкви.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ПОРЯДОК СОЗДАНИЯ И ПРЕКРАЩЕНИЯ ДЕЯТЕЛЬНОСТИ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3.1 Церковь как юридическое лицо считается созданной с момента ее государственной регистрации в установленном законодательств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 Республики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порядке.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3.2 Деятельность Церкви как юридического лица может быть прекращена по решению Освященного Собора и по решению суда в установленных законо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дательством Республики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случаях. Решение о прекращении деятельности считается принятым, если за него проголосовало не менее трех четвертей от общего количества присутствующих делегатов Освященного Собора, представляющих не менее трех четвертей местных религиозных организаций, входящих в Церковь.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СТРУКТУРА ОРГАНИЗАЦИИ, ОРГАНЫ УПРАВЛЕНИЯ, ПОРЯДОК ИХ ФОРМИРОВАНИЯ И КОМПЕТЕНЦИЯ СТРУКТУРА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 Церковь имеет следующую структуру: местные религиозные организации и группы (общины, монастыри, скиты и другие) образуют централизованную религиозную организацию. В Церковь могут входить и другие религиозные объединения (епархии, благочиния, ставропигиальные монастыри, подворья, учреждения, учреждения профессионального религиозного образования и другие).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4.2 Религиозное объединение может войти в состав Церкви в качестве местной религиозной организации, если оно состоит из православных христиан-старообрядцев, полностью признает вероучение Русской Православной старообрядческой Церкви и настоящий Устав, приняло собственный устав местной религиозной организации соответствующий Образцовому уставу, утвержденному Освященным Собором Церкви, и соответствует требованиям действующего 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одательства Республики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 Устав местной религиозной организации, входящей в Церковь, может отличаться от Образцового только в том случае, если законодательство субъ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екта Республики Ивстрия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, на территории которого находится местная религиозная организация, требует внесения в устав некоторых дополнительных положений, не противоречащих, федеральному законодательству.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4.3 Решение о вхождении религиозного объединения в состав Церкви в качестве местной религиозной организации принимает Митрополит по рекомендации Архиерея соответствующей епархии (под термином "Митрополит" настоящий Устав понимает избранного Освященным Собором и канонически рукоположенного старообрядческого Митрополита Московского и всея Руси, Первосвятителя, руководящего повседневной деятельностью Церкви, председательствующего, по возможности, на Освященном и Архиерейском Соборах, Архиерея московской епархии; под термином "Архиерей" настоящий Устав понимает избранного Архиерейским Собором из кандидатов, избранных Освященным Собором, утвержденного Митрополитом и канонически рукоположенного руководителя одной из епархий).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726081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ОРГАНЫ УПРАВЛЕНИЯ</w:t>
            </w:r>
          </w:p>
          <w:p w:rsidR="00AE2854" w:rsidRDefault="00AE2854" w:rsidP="00E91F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4.4 Высшими органами управления Церкви являются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Освященный Собор, Архиерейский Собор и Патриарх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Освященный собор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4.5 Освященный Собор состоит из Архиереев, представителей духовенства, иночества и мирян (под термином "мирянин" настоящий Устав понимает не имеющего духовного сана правос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лавного христианина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, полноправного члена одной из местных религиозных организаций Церкви).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4.6 Архиереи, Настоятели, икономы Митрополии и епархий являются делегатами Освященного Собора по должности (под термином "Настоятель" настоящий Устав понимает назначенного соответствующим Архиереем, утвержденног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Патриархом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канонически рукоположенного духовного наставника местной религиозной организации Церкви; все Настоятели, кроме Настоятелей кафедральных соборов, назначаются из числа кандидатов, избранных местными религиозными организациями Церкви). Местные религиозные организации, входящие в Церковь (общины, монастыри, скиты и другие), могут избирать на Освященный Собор по одному делегату (мирянину или представителю духовенства). Более многочисленным религиозным организациям норма представительства может быть увеличена по благословению Митрополита до пяти человек. В деятельности Освященного Собора могут принимать участие православные христиане-старообрядцы из числа иностранных граждан.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4.7 Освященный Собор созывается Митрополитом не реже одного раза в год. Если у Митрополита отсутствует возможность созвать Освященный Собор, Освященный Собор созывается старшим по хиротонии Архиереем. В чрезвычайных условиях в случае отсутствия Архиереев Освященный Собор собирается в соответствии с обстоятельствами. Местные религиозные организации оповещаются о месте и времени проведения Освященного Собора не позднее чем за месяц до начала его работы.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4.8 Освященный Собор считается правомочным, если на нем представлено не менее четверти местных религиозных организаций, входящих в Церковь с обязательным представительством от всех епархий.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4.9 Решения Освященного Собора по всем вопросам принимаются открытым голосованием (если Освященным Собором не принято решение о тайном голосовании) простым большинством голосов, кроме вопросов Православного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вероучения, избрания Патриарха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, внесения изменений и дополнений в настоящий Устав, ликвидации религиозной организации, входящей в Церковь, прекращения служения Архиереев по представлению Архиерейского Собора, требующих квалифицированного большинства в две трети голосов делегатов Освященного Собора.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4.10 Освященный Собор правомочен принимать решения по любым вопросам деятельности Церкви кроме отнесенных к исключительной компетенции Архиерейского Собора.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 К исключительной компетенции Освященного Собора относится: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4.11.1 рассмотрение и решение вопросов истинности и неповрежденности Православного вероучения;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4.11.2 принятие Устава Церкви и внесение изменений и дополнений в Устав;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4.11.3 принятие решения о ликвидации созданной Церковью организации, принятие рекомендательного решения о прекращении деятельности входящей в Церковь религиозной организа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4.11.4 избрание Патриарха, икономов Патриархии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епархий, непос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тоянных членов Совета Патриархии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Ревизионной комиссии;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4.11.5 избрание кандидатов в Архиереи;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4.11.6 принятие решения по прекращению служения или переводу на другое место служения Архиереев и Настоятелей по представлению Архиерейского Собора, принятие решения по прекращению служения икономов;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4.11.7 утверждение Образцовых уставов для религиозных организаций, входящих в Церковь;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4.11.8 вынесение окончательных решений по вопросам принятия отдельных лиц в члены местных религиозных организаций и исключения из них;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4.11.9 утверждение отчетов Ревизионной комиссии;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4.11.10 принятие решения о финансировании входящими в Церковь организациями ее деятельности и деятельности епархий и благочиний;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4.11.11 принятие решения о вхождении в международные союзы, ассоциации и объединения и выходе из них;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4.11.12 принятие решения о создании религиозных учреждений и организаций (в том числе руководящих либо координирующих органов - епархий и благочиний) и передача им имущества в собственность, оперативное управление или в иной форме, соответствующей законодательству, утверждает их уставы и вносит в них изменения и дополнения;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4.11.13 принимает решения о подчинении местных религиозных организаций, входящих в Церковь, соответствующим руководящим либо координирующим органам - епархиям и благочиниям;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4.11.14 определе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полномочий Совета Патриархии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порядка его работы на время до созыва следующего Освященного Собора, но не более чем на один год.</w:t>
            </w:r>
          </w:p>
          <w:p w:rsidR="00AE2854" w:rsidRDefault="00AE2854" w:rsidP="00E91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Архиерейский Собор</w:t>
            </w:r>
          </w:p>
          <w:p w:rsidR="00AE2854" w:rsidRDefault="00AE2854" w:rsidP="00E91F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4.12 Архиерейский Собор состоит из Архиереев Церкви. В деятельности 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хиерейского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Собора могут принимать участие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микронационные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Архиереи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также из числа иностранных граждан.</w:t>
            </w:r>
          </w:p>
          <w:p w:rsidR="00AE2854" w:rsidRPr="00E91FF7" w:rsidRDefault="00AE2854" w:rsidP="00E91F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4.13 Архиерейск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ий Собор созывается Патриархом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мере необходимости. Если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силу чрезвычайных обстоятельств не в состоянии созвать Архиерейский Собор, Архиерейский Собор созывается старшим по хиротонии Архиереем, либо Архиереи собираются сами в городе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Шпакбурге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или, по взаимному согласию, в ином месте в кратчайший срок.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4.14 Архиерейский Собор считается правомочным, если на нем представлено более половины Архиереев Церкви.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4.15 Решения Архиерейского Собора по всем вопросам принимаются открытым голосованием простым большинством голосов. При равенстве голосов голос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Патриарх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а является решающим.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4.16 К исключительной компетенции Архиерейского Собора относится: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4.16.1 избрание местоблюстителя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патриаршего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престола в случае кончины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Патриарха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4.16.2 избрание Архиереев из числа кандидатов, избранных Освященным Собором, и представление их на утверждение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Патриарху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4.16.3 принятие представления Освященному Собору о прекращении служения Архиереев и Настоятелей или переводе их на другое место служения;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4.16.4 утверждение или отмена решений, принятых Архиереями в своих епархиях, о прекращении служения Настоятелей или переводе их на другое место служения;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4.16.5 утверждение решений религиозных организаций, входящих в Церковь, Освященного Собора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Патриарха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по отчуждению (продаже, дарению и т.д.)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недвижимости любых видов.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Патриарх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4.17 В период между Освященными Соборами текущей деятельностью Церкви руководит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Патриарх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 Он вправе принимать решения по всем вопросам деятельности Церкви кроме вопросов, отнесенных к исключительной компетенции Освященного и Архиерейского Соборов.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Патриарх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 рассматривает и утверждает планы текущей деятельности Церкви и ее бюджет;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 утверждает структуру исполнительного аппарата Церкви;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4.18.3 назначает и освобождает от занимаемых должностей сотрудников исполнительного аппарата Церкви;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4.18.4 решает вопросы о создании духовных образовательных учреждений, открытии представительств, коммерческих и некоммерческих организаций, а также утверждает их Уставы (Положения);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4.18.5 рассматривает и утверждает отчеты сотрудников исполнительного аппарата Церкви и руководителей (Архиереев, благочинных и других) религиозных организаций, входящих в Церковь;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4.18.6 образует комитеты и комиссии по различным направлениям деятельности Церкви и утверждает сметы их расходов;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4.18.7 вносит предложения на Архиерейский Собор по избранию Архиереев, прекращению служения Архиереев и Настоятелей или переводе их на другое место служения;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4.18.8 принимает решение о вхождении религиозного объединения в состав Церкви в качестве местной религиозной организации по рекомендации Архиерея соответствующей епархии;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4.18.9 вносит на Освященный Собор предложения по прекращению деятельности религиозной организации, входящей в Церковь;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4.18.10 утверждает решения Архиерейского Собора об избрании Архиереев;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4.18.11 утверждает решения Архиереев о назначении Настоятелей;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4.18.12 назначает Настоятелей из числа кандидатов, избранных местными религиозными организациями, на территории московской епархии;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4.18.13 назначает Настоятеля своего кафедрального собора и благочинных;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4.18.14 принимает решения о прекращении служения Настоятелей или переводе их на другое место служения на территории московской епархии;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4.18.15 принимает решения по вопросам принятия отдельных лиц в члены местных религиозных организаций и исключения из них;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4.18.16 без доверенности действует от имени Церкви;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4.18.17 представляет интересы Церкви во всех российских и иностранных организациях, в том числе государственных органах;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4.18.18 распоряжается имуществом и средствами Церкви в пределах бюджета и своей компетенции;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4.18.19 заключает договоры, в т.ч. трудовые;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4.18.20 выдает доверенности;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4.18.21 открывает в банках расчетные и другие счета;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4.18.22 издает распоряжения, обязательные для исполнения сотрудниками исполнительного аппарата Церкви и руководителями религиозных и иных организаций, учрежденных и созданных Церковью (Архиереями, благочинными и другими);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4.18.23 утверждает штатное расписание, должностные инструкции и должностные оклады сотрудников исполнительного аппарата Церкви;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4.18.24 утверждает избрания руководящих органов, осуществляемые общими собраниями местных религиозных организаций московской епархии;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4.18.25 принимает решения об учреждении печатных органов Церкви, средств массовой информации;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4.18.26 осуществляет иные полномочия, в том числе и возлагаемые на него Освященным Собором;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4.18.27 имеет официальный титул "Высокопреосвященнейший имярек,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 Шпакбургский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всея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Ивстрии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", личный бланк и личную печать.</w:t>
            </w:r>
          </w:p>
          <w:p w:rsidR="00AE2854" w:rsidRDefault="00AE2854" w:rsidP="00E91FF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Патриархия</w:t>
            </w:r>
          </w:p>
          <w:p w:rsidR="00AE2854" w:rsidRPr="00726081" w:rsidRDefault="00AE2854" w:rsidP="00E91F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4.19 Резиденция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Патриарха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исполнительный аппарат Церкви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шпакбургской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епархии именуются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Шпакбургской 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всея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Ивстрии Патриархией Микронационной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Православной Церкви" и традиционно располагаются в городе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Шпакбурге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Кафедрального Храма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726081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Совет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Патриархии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4.20 Совет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Патриархии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возглавляется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Патриархом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Он состоит из постоянных членов (все Архиереи Церкви) и непостоянных членов (выбранные Освященным Собором представители духовенства). Он созывается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Патриархом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надобности, но не реже двух раз в год. Решения Совета принимаются простым большинством голосов, если Освященным Собором не был принят другой порядок.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4.21 Освященный Собор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могут передать Совету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Патриархии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часть своих полномочий на время между созывами Освященного Собора, но не более чем на один год.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Местоблюститель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Патриаршего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престола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4.22 Местоблюститель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Патриаршего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престола исполняет обязанности и обладает правами Митрополита вплоть до созыва Освященного Собора для выборов нового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Патриарха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 Он обязан созвать Освященный Собор как можно скорее, но не позднее, чем через полгода после кончины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Патриарха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Если Местоблюститель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патриаршего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престола не созывает Освященный Собор в установленный срок, все его полномочия, права и обяз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анности переходят к Совету Патриархии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726081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Ревизионная комиссия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4.23 Ревизионная комиссия избирается Освященным Собором в составе не менее трех человек сроком на четыре года.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4.24 Ревизионная комиссия проверяет финансово-хозяйственную деятельность Церкви и входящих в нее религиозных организаций, состояние и учет материальных ценностей. О результатах проверки Комиссия докладывает Освященному Собору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Патриарху. 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726081"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 xml:space="preserve">Иконом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  <w:t>Патриархии</w:t>
            </w:r>
          </w:p>
          <w:p w:rsidR="00AE2854" w:rsidRPr="00726081" w:rsidRDefault="00AE2854" w:rsidP="007260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4.25 Иконом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Патриархии 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избирается Освященным Собором по возможности из числа духовенства. Работает на постоянной основе под непосредственным руководством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Патриарха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t>, выполняя хозяйственные и иные поручения. Обязан и имеет право обладать полной информацией об имущественном и финансовом положении Церкви. Заслушивается по мере надобности Освященным и Архиерейским Соборами.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 ИСТОЧНИКИ ОБРАЗОВАНИЯ ДЕНЕЖНЫХ СРЕДСТВ И ИНОГО ИМУЩЕСТВА ОРГАНИЗАЦИИ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 Средства Церкви формируются за счет: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5.1.1 добровольных пожертвований и обязательных отчислений религиозных объединений, входящих в Церковь;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5.1.2 добровольных пожертвований коммерческих и некоммерческих организаций, учреждений, религиозных объединений и других организаций, в т.ч. иностранных;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5.1.3 добровольных пожертвований, даров и завещаний физических лиц, в т.ч. иностранных граждан;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5.1.4 имущества, переданного в собственность Церкви коммерческими и некоммерческими организациями, государственными, муниципальными органами, органами местного самоуправления, физическими лицами и другими лицами;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5.1.5 доходов от издательской и предпринимательской деятельности Церкви;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5.1.6 целевого финансирования государственными, муниципальными органами, органами местного самоуправления и другими организациями;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5.1.7 других источников, не запрещенных действующим законодательством.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5.2 Средства Церкви расходуются на реализацию уставных целей, оплату труда сотрудников, уплату налогов и других платежей в бюджет и внебюджетные фонды, возмещение материальных затрат, связанных с осуществлением уставной деятельности, приобретение необходимого имущества, благотворительные и другие, не противоречащие настоящему Уставу, цели.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5.3 За жертвователями, дарителями и завещателями сохраняется право целевого назначения взносов.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5.4 В собственности Церкви могут находиться здания, земельные участки, строения, предметы религиозного назначения, объекты производственного, социального, благотворительного, культурно-просветительского и иного назначения, организации, денежные средства (в т.ч. иностранной валюте) и иное имущество, необходимое для осуществления уставной деятельности, в т.ч. отнесенное к памятникам истории и культуры.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5.5 В случаях и в порядке, установленных действующим законодательством, Церковь может получать, приобретать в собственность или во владение земельные участки.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5.6 Церковь может иметь собственность на территории иностранных государств.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5.7 Для реализации уставной деятельности Церковь может использовать земельные участки, здания и другое движимое и недвижимое имущество, предоставляемое ему на договорной основе государственными, муниципальными органами, органами местного самоуправления, коммерческими и некоммерческими организациями, а также физическими лицами.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5.8 Доходы Церкви расходуются только на достижение целей, определенных настоящим Уставом.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ПОРЯДОК ВНЕСЕНИЯ ИЗМЕНЕНИЙ И ДОПОЛНЕНИЙ В УСТАВ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6.1 Решения об утверждении, изменении и дополнении настоящего Устава принимаются Освященным Собором квалифицированным большинством голосов (2/3) присутствующих делегатов и подлежат регистрации в установленном законом порядке.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ПОРЯДОК РАСПОРЯЖЕНИЯ ИМУЩЕСТВОМ В СЛУЧАЕ ПРЕКРАЩЕНИЯ ДЕЯТЕЛЬНОСТИ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7.1 В случае прекращения деятельности Церкви как юридического лица Освященный Собор образует ликвидационную комиссию, которая принимает на себя все полномочия по управлению делами Церкви.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7.2 По решению ликвидационной комиссии имущество, полученное Церковью в аренду, возвращается его прежним владельцам, а собственные денежные средства и имущество, оставшиеся после удовлетворения требований кредиторов, передаются в религиозные организации, входящие в состав Церкви, и используются в уставных целях.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7.3 Решение о прекращении деятельности направляется в орган, зарегистрировавший Церковь, для исключения из государственного реестра.</w:t>
            </w:r>
            <w:r w:rsidRPr="0072608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7.4 Документы по личному составу после прекращения деятельности Церкви как юридического лица передаются на государственное хранение.</w:t>
            </w:r>
          </w:p>
        </w:tc>
      </w:tr>
    </w:tbl>
    <w:p w:rsidR="00AE2854" w:rsidRDefault="00AE2854" w:rsidP="00726081">
      <w:pPr>
        <w:jc w:val="center"/>
      </w:pPr>
    </w:p>
    <w:sectPr w:rsidR="00AE2854" w:rsidSect="00EC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081"/>
    <w:rsid w:val="000437ED"/>
    <w:rsid w:val="0034407A"/>
    <w:rsid w:val="003C2364"/>
    <w:rsid w:val="005608B8"/>
    <w:rsid w:val="006A4C3E"/>
    <w:rsid w:val="00726081"/>
    <w:rsid w:val="00894A95"/>
    <w:rsid w:val="009C0D89"/>
    <w:rsid w:val="00AE2854"/>
    <w:rsid w:val="00DD711A"/>
    <w:rsid w:val="00E8546F"/>
    <w:rsid w:val="00E91FF7"/>
    <w:rsid w:val="00EC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2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26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2608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72608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26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2608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10</Pages>
  <Words>4378</Words>
  <Characters>24961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Bogolyuk Denis</dc:creator>
  <cp:keywords/>
  <dc:description/>
  <cp:lastModifiedBy>Home</cp:lastModifiedBy>
  <cp:revision>4</cp:revision>
  <dcterms:created xsi:type="dcterms:W3CDTF">2013-06-08T12:00:00Z</dcterms:created>
  <dcterms:modified xsi:type="dcterms:W3CDTF">2005-12-25T19:08:00Z</dcterms:modified>
</cp:coreProperties>
</file>